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15006" w14:textId="77777777" w:rsidR="00CC00B5" w:rsidRDefault="00CC00B5" w:rsidP="00CC00B5">
      <w:pPr>
        <w:pStyle w:val="Normale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COMUNICATO STAMPA</w:t>
      </w:r>
    </w:p>
    <w:p w14:paraId="6707B678" w14:textId="77777777" w:rsidR="00CC00B5" w:rsidRDefault="00CC00B5" w:rsidP="00CC00B5">
      <w:pPr>
        <w:pStyle w:val="Normale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Fonts w:ascii="Arial" w:hAnsi="Arial" w:cs="Arial"/>
          <w:b/>
          <w:bCs/>
          <w:color w:val="000000"/>
          <w:sz w:val="32"/>
          <w:szCs w:val="32"/>
        </w:rPr>
        <w:t>Torna “Scienza Insieme NET” per 4 mesi di scienza e divulgazione in occasione della Notte Europea dei Ricercatori 2021</w:t>
      </w:r>
    </w:p>
    <w:p w14:paraId="2DF00498" w14:textId="77777777" w:rsidR="00CC00B5" w:rsidRDefault="00CC00B5" w:rsidP="00CC00B5">
      <w:pPr>
        <w:pStyle w:val="NormaleWeb"/>
        <w:spacing w:before="240" w:beforeAutospacing="0" w:after="240" w:afterAutospacing="0"/>
        <w:jc w:val="center"/>
      </w:pPr>
      <w:r>
        <w:rPr>
          <w:rFonts w:ascii="Arial" w:hAnsi="Arial" w:cs="Arial"/>
          <w:i/>
          <w:iCs/>
          <w:color w:val="000000"/>
        </w:rPr>
        <w:t>11 gli enti del partenariato: CNR (coordinatore), ENEA, INAF, INFN, INGV, ISPRA, CINECA, Università degli Studi di Roma “Tor Vergata”, Sapienza Università di Roma, Università degli Studi della Tuscia, Università Telematica Internazionale UNINETTUNO.</w:t>
      </w:r>
    </w:p>
    <w:p w14:paraId="6BECFD61" w14:textId="77777777" w:rsidR="00CC00B5" w:rsidRDefault="00CC00B5" w:rsidP="00CC00B5">
      <w:pPr>
        <w:pStyle w:val="NormaleWeb"/>
        <w:spacing w:before="240" w:beforeAutospacing="0" w:after="240" w:afterAutospacing="0"/>
        <w:jc w:val="center"/>
      </w:pPr>
      <w:r>
        <w:rPr>
          <w:rFonts w:ascii="Arial" w:hAnsi="Arial" w:cs="Arial"/>
          <w:i/>
          <w:iCs/>
          <w:color w:val="000000"/>
        </w:rPr>
        <w:t>Fra gli ospiti dell’edizione 2021 il Premio Nobel Michel Mayor.</w:t>
      </w:r>
      <w:r>
        <w:rPr>
          <w:rFonts w:ascii="Arial" w:hAnsi="Arial" w:cs="Arial"/>
          <w:i/>
          <w:iCs/>
          <w:color w:val="000000"/>
        </w:rPr>
        <w:br/>
        <w:t>Si comincia il 4 e 5 giugno con i trekking scientifici a Roma. </w:t>
      </w:r>
    </w:p>
    <w:p w14:paraId="7DC15AFC" w14:textId="77777777" w:rsidR="00CC00B5" w:rsidRDefault="00CC00B5" w:rsidP="00CC00B5"/>
    <w:p w14:paraId="7DCC7359" w14:textId="77777777" w:rsidR="00CC00B5" w:rsidRDefault="00CC00B5" w:rsidP="00CC00B5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Roma, 27 maggio 2021</w:t>
      </w:r>
      <w:r>
        <w:rPr>
          <w:rFonts w:ascii="Arial" w:hAnsi="Arial" w:cs="Arial"/>
          <w:color w:val="000000"/>
          <w:sz w:val="22"/>
          <w:szCs w:val="22"/>
        </w:rPr>
        <w:t xml:space="preserve"> Riprendono le iniziative di </w:t>
      </w:r>
      <w:r>
        <w:rPr>
          <w:rFonts w:ascii="Arial" w:hAnsi="Arial" w:cs="Arial"/>
          <w:b/>
          <w:bCs/>
          <w:color w:val="000000"/>
          <w:sz w:val="22"/>
          <w:szCs w:val="22"/>
        </w:rPr>
        <w:t>Scienza Insieme NET</w:t>
      </w:r>
      <w:r>
        <w:rPr>
          <w:rFonts w:ascii="Arial" w:hAnsi="Arial" w:cs="Arial"/>
          <w:color w:val="000000"/>
          <w:sz w:val="22"/>
          <w:szCs w:val="22"/>
        </w:rPr>
        <w:t xml:space="preserve"> per quattro mesi di scienza che si concluderanno con la Notte Europea dei Ricercatori 2021, il prossimo 24 settembre.</w:t>
      </w:r>
    </w:p>
    <w:p w14:paraId="27721CA3" w14:textId="77777777" w:rsidR="00CC00B5" w:rsidRDefault="00CC00B5" w:rsidP="00CC00B5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Tra le personalità del mondo scientifico che animeranno l’edizione 2021, parteciperà quest’anno, come ospite d’eccezione di NET, il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Premio Nobel per la Fisica Michel Mayor</w:t>
      </w:r>
      <w:r>
        <w:rPr>
          <w:rFonts w:ascii="Arial" w:hAnsi="Arial" w:cs="Arial"/>
          <w:color w:val="000000"/>
          <w:sz w:val="22"/>
          <w:szCs w:val="22"/>
        </w:rPr>
        <w:t xml:space="preserve"> per raccontare degli esopianeti e della scoperta del </w:t>
      </w:r>
      <w:r>
        <w:rPr>
          <w:rFonts w:ascii="Arial" w:hAnsi="Arial" w:cs="Arial"/>
          <w:b/>
          <w:bCs/>
          <w:color w:val="000000"/>
          <w:sz w:val="22"/>
          <w:szCs w:val="22"/>
        </w:rPr>
        <w:t>cosmo oltre il nostro sistema solare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FC16411" w14:textId="79F4EEB9" w:rsidR="00CC00B5" w:rsidRDefault="00CC00B5" w:rsidP="00CC00B5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I ricercatori e le ricercatrici di undici tra i principali Enti pubblici di ricerca ed Università del nostro Paese che costituiscono la rete di NET condurranno laboratori, tour in presenza e virtuali, giochi ed esperimenti, conferenze interattive per avvicinare adulti e bambini alla scienza. Gli eventi, tutti gratuiti, si svolgeranno a Roma, Viterbo e in tante altre città italiane, e saranno volti ad aumentare la consapevolezza e il coinvolgimento dei cittadini nella sfida globale dei </w:t>
      </w:r>
      <w:r>
        <w:rPr>
          <w:rFonts w:ascii="Arial" w:hAnsi="Arial" w:cs="Arial"/>
          <w:b/>
          <w:bCs/>
          <w:color w:val="000000"/>
          <w:sz w:val="22"/>
          <w:szCs w:val="22"/>
        </w:rPr>
        <w:t>cambiamenti climatici</w:t>
      </w:r>
      <w:r>
        <w:rPr>
          <w:rFonts w:ascii="Arial" w:hAnsi="Arial" w:cs="Arial"/>
          <w:color w:val="000000"/>
          <w:sz w:val="22"/>
          <w:szCs w:val="22"/>
        </w:rPr>
        <w:t xml:space="preserve">, informando il pubblico sulle azioni del </w:t>
      </w:r>
      <w:r>
        <w:rPr>
          <w:rFonts w:ascii="Arial" w:hAnsi="Arial" w:cs="Arial"/>
          <w:b/>
          <w:bCs/>
          <w:color w:val="000000"/>
          <w:sz w:val="22"/>
          <w:szCs w:val="22"/>
        </w:rPr>
        <w:t>Green Deal europeo</w:t>
      </w:r>
      <w:r>
        <w:rPr>
          <w:rFonts w:ascii="Arial" w:hAnsi="Arial" w:cs="Arial"/>
          <w:color w:val="000000"/>
          <w:sz w:val="22"/>
          <w:szCs w:val="22"/>
        </w:rPr>
        <w:t xml:space="preserve"> e del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PNRR </w:t>
      </w:r>
      <w:r>
        <w:rPr>
          <w:rFonts w:ascii="Arial" w:hAnsi="Arial" w:cs="Arial"/>
          <w:color w:val="000000"/>
          <w:sz w:val="22"/>
          <w:szCs w:val="22"/>
        </w:rPr>
        <w:t>per un’economia più sostenibile.</w:t>
      </w:r>
    </w:p>
    <w:p w14:paraId="1928CBA0" w14:textId="77777777" w:rsidR="00CC00B5" w:rsidRDefault="00CC00B5" w:rsidP="00CC00B5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Tra gli appuntamenti con cui si inaugureranno le attività 2021 di NET vi saranno talk, trekking urbani e naturalistici, aperitivi scientifici, conferenze spettacolo. Un fitto programma con eventi su tutto il territorio nazionale, da nord a sud, in tutte le sedi di NET.</w:t>
      </w:r>
    </w:p>
    <w:p w14:paraId="4D187EBC" w14:textId="22D5AA59" w:rsidR="00CC00B5" w:rsidRDefault="00CC00B5" w:rsidP="00CC00B5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Si parte venerdì 4 giugno a Roma </w:t>
      </w:r>
      <w:r>
        <w:rPr>
          <w:rFonts w:ascii="Arial" w:hAnsi="Arial" w:cs="Arial"/>
          <w:color w:val="000000"/>
          <w:sz w:val="22"/>
          <w:szCs w:val="22"/>
        </w:rPr>
        <w:t xml:space="preserve">con il trekking scientifico di ISPRA presso il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Drizzagno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l’ansa morta di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Spinaceto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lungo il Tevere per continuare sabato 5 con lo “Star Trekking” organizzato da INAF, una passeggiata percorso urbano, che si snoda tra le basiliche di Santa Maria degli Angeli e Santa Maria Maggiore, in un percorso in cui l’arte si fonde con la storia dell’astronomia. Nello stesso giorno i ricercatori di INFN condurranno bambini e ragazzi in una passeggiata nel bosco del monte Tuscolo con destinazione il Parco Archeologico e Culturale di Tuscolo chiacchierando di scienza e raccontando le attività dell’Istituto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FC2C252" w14:textId="77777777" w:rsidR="00CC00B5" w:rsidRDefault="00CC00B5" w:rsidP="00CC00B5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Anche nell’edizione 2021 </w:t>
      </w:r>
      <w:r>
        <w:rPr>
          <w:rFonts w:ascii="Arial" w:hAnsi="Arial" w:cs="Arial"/>
          <w:b/>
          <w:bCs/>
          <w:color w:val="000000"/>
          <w:sz w:val="22"/>
          <w:szCs w:val="22"/>
        </w:rPr>
        <w:t>un’attenzione particolare andrà ai giovani e a tutto il mondo della scuola</w:t>
      </w:r>
      <w:r>
        <w:rPr>
          <w:rFonts w:ascii="Arial" w:hAnsi="Arial" w:cs="Arial"/>
          <w:color w:val="000000"/>
          <w:sz w:val="22"/>
          <w:szCs w:val="22"/>
        </w:rPr>
        <w:t>: attività, sia in presenza che online, saranno svolte dai ricercatori con l’obiettivo di coinvolgere le nuove generazioni nella passione e nella curiosità per la scienza, attraverso laboratori, giochi, la caccia al tesoro di NET, e intrattenere gli studenti in modo divertente e appassionante. </w:t>
      </w:r>
    </w:p>
    <w:p w14:paraId="2DA59D54" w14:textId="77777777" w:rsidR="00CC00B5" w:rsidRDefault="00CC00B5" w:rsidP="00CC00B5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In attesa del grande evento Notte del 24 settembre, in preparazione un week end estivo con esperimenti, laboratori e spettacoli nell’Arena cinematografica di Parco Talenti a Roma.</w:t>
      </w:r>
    </w:p>
    <w:p w14:paraId="45917BAD" w14:textId="5EC41139" w:rsidR="00CC00B5" w:rsidRDefault="00CC00B5" w:rsidP="00CC00B5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“L'informazione, il fenomeno delle fake news, la comunicazione sui grandi temi di attualità, tanto rilevante per i cittadini nella drammatica fase della pandemia, e fondamentale per la lotta ai cambiamenti climatici, saranno al centro dei nostri eventi. L’esperienza del Covid sta confermando quanto le persone abbiano fame di conoscenza scientifica. Riuscire a mettere in campo eventi e appuntamenti, in presenza e in streaming, per la cittadinanza, con focus specifici per gli studenti, per noi è fondamentale per dare risposte alle richieste delle persone e per combattere in prima linea le ‘bufale’ scientifiche sempre più frequenti – spiega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Claudia Ceccarelli, coordinatrice del Progetto NET- Science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Together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–. La ricerca è il polmone pulsante del nostro Paese. Manifestazioni come questa ci consentono di mostrare le eccellenze scientifiche italiane e ciò che ci rende un paese competitivo in questo ambito; di aprire lo sguardo verso prospettive future più ampie, ovvero, una maggiore consapevolezza di tutti su quelle che sono le sfide globali di questo millennio, e sulle responsabilità che ciascuno di noi deve assumersi con l’obiettivo di un futuro più sostenibile. Nel corso dei tanti momenti previsti per la manifestazione - che avrà il suo culmine nella Notte dei ricercatori venerdì 24 settembre - le persone potranno incontrare i tanti ricercatori e ricercatrici e, ci auguriamo, sentirsi un pochino parte della nostra rete ‘NET’”.</w:t>
      </w:r>
    </w:p>
    <w:p w14:paraId="794285B8" w14:textId="77777777" w:rsidR="00CC00B5" w:rsidRDefault="00CC00B5" w:rsidP="00CC00B5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Al Progetto NET aderiscono undici fra i più importanti Enti pubblici di ricerca ed Università del nostro Paese: </w:t>
      </w:r>
      <w:r>
        <w:rPr>
          <w:rFonts w:ascii="Arial" w:hAnsi="Arial" w:cs="Arial"/>
          <w:b/>
          <w:bCs/>
          <w:color w:val="000000"/>
          <w:sz w:val="22"/>
          <w:szCs w:val="22"/>
        </w:rPr>
        <w:t>CNR</w:t>
      </w:r>
      <w:r>
        <w:rPr>
          <w:rFonts w:ascii="Arial" w:hAnsi="Arial" w:cs="Arial"/>
          <w:color w:val="000000"/>
          <w:sz w:val="22"/>
          <w:szCs w:val="22"/>
        </w:rPr>
        <w:t xml:space="preserve"> (che ne è anche il capofila), </w:t>
      </w:r>
      <w:r>
        <w:rPr>
          <w:rFonts w:ascii="Arial" w:hAnsi="Arial" w:cs="Arial"/>
          <w:b/>
          <w:bCs/>
          <w:color w:val="000000"/>
          <w:sz w:val="22"/>
          <w:szCs w:val="22"/>
        </w:rPr>
        <w:t>ENEA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color w:val="000000"/>
          <w:sz w:val="22"/>
          <w:szCs w:val="22"/>
        </w:rPr>
        <w:t>INAF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color w:val="000000"/>
          <w:sz w:val="22"/>
          <w:szCs w:val="22"/>
        </w:rPr>
        <w:t>INFN,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INGV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color w:val="000000"/>
          <w:sz w:val="22"/>
          <w:szCs w:val="22"/>
        </w:rPr>
        <w:t>ISPRA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color w:val="000000"/>
          <w:sz w:val="22"/>
          <w:szCs w:val="22"/>
        </w:rPr>
        <w:t>CINECA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color w:val="000000"/>
          <w:sz w:val="22"/>
          <w:szCs w:val="22"/>
        </w:rPr>
        <w:t>Università degli Studi di Roma “Tor Vergata”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color w:val="000000"/>
          <w:sz w:val="22"/>
          <w:szCs w:val="22"/>
        </w:rPr>
        <w:t>Sapienza Università di Roma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color w:val="000000"/>
          <w:sz w:val="22"/>
          <w:szCs w:val="22"/>
        </w:rPr>
        <w:t>Università degli Studi della Tuscia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color w:val="000000"/>
          <w:sz w:val="22"/>
          <w:szCs w:val="22"/>
        </w:rPr>
        <w:t>Università Telematica Internazionale UNINETTUNO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810D6F0" w14:textId="77777777" w:rsidR="00CC00B5" w:rsidRDefault="00CC00B5" w:rsidP="00CC00B5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L'idea del Progetto NET è nata dall'esperienza di </w:t>
      </w:r>
      <w:r>
        <w:rPr>
          <w:rFonts w:ascii="Arial" w:hAnsi="Arial" w:cs="Arial"/>
          <w:b/>
          <w:bCs/>
          <w:color w:val="000000"/>
          <w:sz w:val="22"/>
          <w:szCs w:val="22"/>
        </w:rPr>
        <w:t>Scienza Insieme</w:t>
      </w:r>
      <w:r>
        <w:rPr>
          <w:rFonts w:ascii="Arial" w:hAnsi="Arial" w:cs="Arial"/>
          <w:color w:val="000000"/>
          <w:sz w:val="22"/>
          <w:szCs w:val="22"/>
        </w:rPr>
        <w:t xml:space="preserve"> che da alcuni anni vede gli stessi partner collaborare insieme sui temi della divulgazione, formazione e informazione, e che avevano già partecipato ad altre edizioni della Notte Europea dei Ricercatori.</w:t>
      </w:r>
    </w:p>
    <w:p w14:paraId="091268AB" w14:textId="5C5FB588" w:rsidR="00CC00B5" w:rsidRDefault="00CC00B5" w:rsidP="00CC00B5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La rete di NET include tante realtà del mondo della ricerca e della cultura presenti sul territorio. Tra le tante collaborazioni quella con il Centro Ricerche Enrico Fermi, prestigioso ente pubblico di ricerca, l’Orto botanico di Roma, La Lega Navale Italiana,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Federparchi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Anec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Lazio, AIGAE coordinamento Lazio; La Citt</w:t>
      </w:r>
      <w:r w:rsidR="009038A2">
        <w:rPr>
          <w:rFonts w:ascii="Arial" w:hAnsi="Arial" w:cs="Arial"/>
          <w:color w:val="000000"/>
          <w:sz w:val="22"/>
          <w:szCs w:val="22"/>
        </w:rPr>
        <w:t>à</w:t>
      </w:r>
      <w:r>
        <w:rPr>
          <w:rFonts w:ascii="Arial" w:hAnsi="Arial" w:cs="Arial"/>
          <w:color w:val="000000"/>
          <w:sz w:val="22"/>
          <w:szCs w:val="22"/>
        </w:rPr>
        <w:t xml:space="preserve"> della Scienza (Napoli), Lega Navale di Livorno;</w:t>
      </w:r>
      <w:r w:rsidR="009038A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Distretto Ligure Tecnologico;</w:t>
      </w:r>
      <w:r w:rsidR="009038A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il Museo Naturalistico dei Monti Prenestini, Resina (Sistema Museale Naturalistico del Lazio), Museo Maxxi, Palazzo Rospigliosi e numerose associazioni e importanti realtà del territorio Casetta Rossa, Centro Antartide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Univerde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);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FotoSub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Club; Green Cross Italia; Gruppo Astronomia Digitale;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Meles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Meles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;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Neulos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;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Neural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Research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; Open City;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ScienzImpresa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; Sistemi Castelli Romani; Teatro Tor Bella Monaca (Seven Cults); UAI - Unione Astrofili Italiani.</w:t>
      </w:r>
    </w:p>
    <w:p w14:paraId="2246136F" w14:textId="77777777" w:rsidR="00CC00B5" w:rsidRDefault="00CC00B5" w:rsidP="00CC00B5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La Notte Europea dei Ricercatori</w:t>
      </w:r>
      <w:r>
        <w:rPr>
          <w:rFonts w:ascii="Arial" w:hAnsi="Arial" w:cs="Arial"/>
          <w:color w:val="000000"/>
          <w:sz w:val="22"/>
          <w:szCs w:val="22"/>
        </w:rPr>
        <w:t xml:space="preserve"> è un progetto </w:t>
      </w:r>
      <w:r>
        <w:rPr>
          <w:rFonts w:ascii="Arial" w:hAnsi="Arial" w:cs="Arial"/>
          <w:b/>
          <w:bCs/>
          <w:color w:val="000000"/>
          <w:sz w:val="22"/>
          <w:szCs w:val="22"/>
        </w:rPr>
        <w:t>HORIZON 2020bis</w:t>
      </w:r>
      <w:r>
        <w:rPr>
          <w:rFonts w:ascii="Arial" w:hAnsi="Arial" w:cs="Arial"/>
          <w:color w:val="000000"/>
          <w:sz w:val="22"/>
          <w:szCs w:val="22"/>
        </w:rPr>
        <w:t xml:space="preserve">, realizzato con le azioni Marie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Skłodowska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-Curie, e si svolge dal 2005 in 430 città dell’Unione Europea, coinvolgendo 1,6 milioni di visitatori, 36.000 ricercatori, centinaia di Centri ed Enti di ricerca, Università, associazioni e numerose altre importanti realtà impegnate nella divulgazione scientifica. Tutte le attività realizzate per la Notte Europea dei Ricercatori sono gratuite e hanno lo scopo di avvicinare i cittadini dei 27 Paesi dell’Unione Europea al mondo della scienza.</w:t>
      </w:r>
    </w:p>
    <w:p w14:paraId="75643C59" w14:textId="77777777" w:rsidR="00CC00B5" w:rsidRDefault="00CC00B5" w:rsidP="00CC00B5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Per prenotare e conoscere tutti gli altri appuntamenti: </w:t>
      </w:r>
      <w:hyperlink r:id="rId6" w:history="1">
        <w:r>
          <w:rPr>
            <w:rStyle w:val="Collegamentoipertestuale"/>
            <w:rFonts w:ascii="Arial" w:hAnsi="Arial" w:cs="Arial"/>
            <w:color w:val="1155CC"/>
            <w:sz w:val="22"/>
            <w:szCs w:val="22"/>
          </w:rPr>
          <w:t>www.scienzainsieme.it</w:t>
        </w:r>
      </w:hyperlink>
      <w:r>
        <w:rPr>
          <w:rFonts w:ascii="Arial" w:hAnsi="Arial" w:cs="Arial"/>
          <w:color w:val="000000"/>
          <w:sz w:val="22"/>
          <w:szCs w:val="22"/>
        </w:rPr>
        <w:t>  </w:t>
      </w:r>
    </w:p>
    <w:p w14:paraId="4AB8277D" w14:textId="31C99C04" w:rsidR="00CC00B5" w:rsidRDefault="00CC00B5" w:rsidP="005748BC">
      <w:pPr>
        <w:pStyle w:val="Normale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In allegato il calendario degli appuntamenti di giugno</w:t>
      </w:r>
      <w:r w:rsidR="005748BC">
        <w:rPr>
          <w:rFonts w:ascii="Arial" w:hAnsi="Arial" w:cs="Arial"/>
          <w:color w:val="000000"/>
          <w:sz w:val="22"/>
          <w:szCs w:val="22"/>
        </w:rPr>
        <w:t>.</w:t>
      </w:r>
      <w:bookmarkStart w:id="0" w:name="_GoBack"/>
      <w:bookmarkEnd w:id="0"/>
    </w:p>
    <w:p w14:paraId="59B4872A" w14:textId="77777777" w:rsidR="005771BF" w:rsidRDefault="00CC00B5" w:rsidP="005771BF">
      <w:pPr>
        <w:pStyle w:val="NormaleWeb"/>
        <w:spacing w:before="240" w:beforeAutospacing="0" w:after="24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Sito:</w:t>
      </w:r>
      <w:hyperlink r:id="rId7" w:history="1">
        <w:r w:rsidRPr="005771BF">
          <w:rPr>
            <w:rStyle w:val="Collegamentoipertestuale"/>
            <w:rFonts w:ascii="Arial" w:hAnsi="Arial" w:cs="Arial"/>
            <w:color w:val="000000"/>
            <w:sz w:val="22"/>
            <w:szCs w:val="22"/>
          </w:rPr>
          <w:t xml:space="preserve"> </w:t>
        </w:r>
        <w:r w:rsidRPr="005771BF">
          <w:rPr>
            <w:rStyle w:val="Collegamentoipertestuale"/>
            <w:rFonts w:ascii="Arial" w:hAnsi="Arial" w:cs="Arial"/>
            <w:b/>
            <w:bCs/>
            <w:color w:val="1155CC"/>
            <w:sz w:val="22"/>
            <w:szCs w:val="22"/>
          </w:rPr>
          <w:t>www.scienzainsieme.it</w:t>
        </w:r>
      </w:hyperlink>
      <w:r w:rsidRPr="005771B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771BF" w:rsidRPr="005771B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55BF395A" w14:textId="7DB238A3" w:rsidR="00CC00B5" w:rsidRPr="005771BF" w:rsidRDefault="005771BF" w:rsidP="00CC00B5">
      <w:pPr>
        <w:pStyle w:val="NormaleWeb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5771BF">
        <w:rPr>
          <w:rFonts w:ascii="Arial" w:hAnsi="Arial" w:cs="Arial"/>
          <w:sz w:val="22"/>
          <w:szCs w:val="22"/>
        </w:rPr>
        <w:t>Facebook/ Twitter / Instagram @ScienzaInsieme </w:t>
      </w:r>
    </w:p>
    <w:p w14:paraId="24080757" w14:textId="77777777" w:rsidR="00CC00B5" w:rsidRDefault="00CC00B5" w:rsidP="00CC00B5"/>
    <w:p w14:paraId="630E5FAF" w14:textId="77777777" w:rsidR="00CC00B5" w:rsidRDefault="00CC00B5" w:rsidP="00CC00B5">
      <w:pPr>
        <w:pStyle w:val="Normale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Ufficio stampa </w:t>
      </w:r>
      <w:proofErr w:type="spellStart"/>
      <w:r>
        <w:rPr>
          <w:rFonts w:ascii="Calibri" w:hAnsi="Calibri" w:cs="Calibri"/>
          <w:b/>
          <w:bCs/>
          <w:color w:val="222222"/>
          <w:sz w:val="22"/>
          <w:szCs w:val="22"/>
        </w:rPr>
        <w:t>GreenFactor</w:t>
      </w:r>
      <w:proofErr w:type="spellEnd"/>
    </w:p>
    <w:p w14:paraId="39799690" w14:textId="77777777" w:rsidR="00CC00B5" w:rsidRDefault="00CC00B5" w:rsidP="00CC00B5">
      <w:pPr>
        <w:pStyle w:val="NormaleWeb"/>
        <w:shd w:val="clear" w:color="auto" w:fill="FFFFFF"/>
        <w:spacing w:before="0" w:beforeAutospacing="0" w:after="0" w:afterAutospacing="0"/>
        <w:jc w:val="both"/>
      </w:pPr>
      <w:r>
        <w:t> </w:t>
      </w:r>
    </w:p>
    <w:p w14:paraId="0891F1ED" w14:textId="77777777" w:rsidR="00CC00B5" w:rsidRDefault="00CC00B5" w:rsidP="00CC00B5">
      <w:pPr>
        <w:pStyle w:val="Normale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 w:cs="Calibri"/>
          <w:i/>
          <w:iCs/>
          <w:color w:val="222222"/>
          <w:sz w:val="22"/>
          <w:szCs w:val="22"/>
        </w:rPr>
        <w:t xml:space="preserve">mail </w:t>
      </w:r>
      <w:r>
        <w:rPr>
          <w:rFonts w:ascii="Calibri" w:hAnsi="Calibri" w:cs="Calibri"/>
          <w:i/>
          <w:iCs/>
          <w:color w:val="1155CC"/>
          <w:sz w:val="22"/>
          <w:szCs w:val="22"/>
        </w:rPr>
        <w:t>press@greenfactoronline.it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1FABBE1" w14:textId="4DB43CC4" w:rsidR="00CC00B5" w:rsidRDefault="00CC00B5" w:rsidP="00CC00B5">
      <w:pPr>
        <w:pStyle w:val="Normale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 w:cs="Calibri"/>
          <w:i/>
          <w:iCs/>
          <w:color w:val="222222"/>
          <w:sz w:val="22"/>
          <w:szCs w:val="22"/>
        </w:rPr>
        <w:t>Valeria Morelli +39 347 811 0607</w:t>
      </w:r>
    </w:p>
    <w:p w14:paraId="6B069C13" w14:textId="77777777" w:rsidR="00CC00B5" w:rsidRDefault="00CC00B5" w:rsidP="00CC00B5">
      <w:pPr>
        <w:pStyle w:val="NormaleWeb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 w:cs="Calibri"/>
          <w:i/>
          <w:iCs/>
          <w:color w:val="222222"/>
          <w:sz w:val="22"/>
          <w:szCs w:val="22"/>
        </w:rPr>
        <w:t xml:space="preserve">Assunta </w:t>
      </w:r>
      <w:proofErr w:type="spellStart"/>
      <w:r>
        <w:rPr>
          <w:rFonts w:ascii="Calibri" w:hAnsi="Calibri" w:cs="Calibri"/>
          <w:i/>
          <w:iCs/>
          <w:color w:val="222222"/>
          <w:sz w:val="22"/>
          <w:szCs w:val="22"/>
        </w:rPr>
        <w:t>Gammardella</w:t>
      </w:r>
      <w:proofErr w:type="spellEnd"/>
      <w:r>
        <w:rPr>
          <w:rFonts w:ascii="Calibri" w:hAnsi="Calibri" w:cs="Calibri"/>
          <w:i/>
          <w:iCs/>
          <w:color w:val="222222"/>
          <w:sz w:val="22"/>
          <w:szCs w:val="22"/>
        </w:rPr>
        <w:t xml:space="preserve"> +39 329 722 0702</w:t>
      </w:r>
    </w:p>
    <w:p w14:paraId="779E6FF9" w14:textId="77777777" w:rsidR="00CC00B5" w:rsidRDefault="00CC00B5" w:rsidP="00CC00B5">
      <w:pPr>
        <w:pStyle w:val="NormaleWeb"/>
        <w:shd w:val="clear" w:color="auto" w:fill="FFFFFF"/>
        <w:spacing w:before="0" w:beforeAutospacing="0" w:after="0" w:afterAutospacing="0" w:line="480" w:lineRule="auto"/>
        <w:jc w:val="both"/>
      </w:pPr>
      <w:r>
        <w:t> </w:t>
      </w:r>
    </w:p>
    <w:p w14:paraId="143A9307" w14:textId="32CEED4A" w:rsidR="00CC00B5" w:rsidRDefault="00CC00B5" w:rsidP="00CC00B5">
      <w:pPr>
        <w:pStyle w:val="NormaleWeb"/>
        <w:spacing w:before="240" w:beforeAutospacing="0" w:after="240" w:afterAutospacing="0"/>
      </w:pPr>
    </w:p>
    <w:p w14:paraId="7E77051E" w14:textId="77777777" w:rsidR="00F5708F" w:rsidRDefault="00F5708F" w:rsidP="00F5708F">
      <w:pPr>
        <w:pStyle w:val="NormaleWeb"/>
        <w:shd w:val="clear" w:color="auto" w:fill="FFFFFF"/>
        <w:spacing w:before="0" w:beforeAutospacing="0" w:after="0" w:afterAutospacing="0" w:line="480" w:lineRule="auto"/>
        <w:jc w:val="both"/>
      </w:pPr>
      <w:r>
        <w:t> </w:t>
      </w:r>
    </w:p>
    <w:p w14:paraId="216FE013" w14:textId="4A948EFC" w:rsidR="00FA3293" w:rsidRPr="00977B1E" w:rsidRDefault="00FA3293" w:rsidP="008E04DF">
      <w:pPr>
        <w:pStyle w:val="NormaleWeb"/>
        <w:shd w:val="clear" w:color="auto" w:fill="FFFFFF"/>
        <w:spacing w:before="0" w:beforeAutospacing="0" w:after="0" w:afterAutospacing="0" w:line="480" w:lineRule="auto"/>
        <w:jc w:val="both"/>
      </w:pPr>
    </w:p>
    <w:sectPr w:rsidR="00FA3293" w:rsidRPr="00977B1E" w:rsidSect="00816E9E">
      <w:headerReference w:type="default" r:id="rId8"/>
      <w:footerReference w:type="default" r:id="rId9"/>
      <w:pgSz w:w="11900" w:h="16840"/>
      <w:pgMar w:top="2494" w:right="1134" w:bottom="1134" w:left="1134" w:header="420" w:footer="2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6645C" w14:textId="77777777" w:rsidR="004A0A7D" w:rsidRDefault="004A0A7D" w:rsidP="00E13CE0">
      <w:r>
        <w:separator/>
      </w:r>
    </w:p>
  </w:endnote>
  <w:endnote w:type="continuationSeparator" w:id="0">
    <w:p w14:paraId="58082D36" w14:textId="77777777" w:rsidR="004A0A7D" w:rsidRDefault="004A0A7D" w:rsidP="00E1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36ADE" w14:textId="140EEEF2" w:rsidR="004F78CA" w:rsidRPr="00E57942" w:rsidRDefault="00556CDD" w:rsidP="00E57942">
    <w:pPr>
      <w:pStyle w:val="Pidipa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BF18751" wp14:editId="4B06E92B">
          <wp:simplePos x="0" y="0"/>
          <wp:positionH relativeFrom="column">
            <wp:posOffset>-216535</wp:posOffset>
          </wp:positionH>
          <wp:positionV relativeFrom="paragraph">
            <wp:posOffset>350520</wp:posOffset>
          </wp:positionV>
          <wp:extent cx="6699885" cy="1310640"/>
          <wp:effectExtent l="0" t="0" r="5715" b="3810"/>
          <wp:wrapTight wrapText="bothSides">
            <wp:wrapPolygon edited="0">
              <wp:start x="0" y="0"/>
              <wp:lineTo x="0" y="21349"/>
              <wp:lineTo x="21557" y="21349"/>
              <wp:lineTo x="21557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469" b="31732"/>
                  <a:stretch/>
                </pic:blipFill>
                <pic:spPr bwMode="auto">
                  <a:xfrm>
                    <a:off x="0" y="0"/>
                    <a:ext cx="6699885" cy="1310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80757" w14:textId="77777777" w:rsidR="004A0A7D" w:rsidRDefault="004A0A7D" w:rsidP="00E13CE0">
      <w:r>
        <w:separator/>
      </w:r>
    </w:p>
  </w:footnote>
  <w:footnote w:type="continuationSeparator" w:id="0">
    <w:p w14:paraId="6AEC2590" w14:textId="77777777" w:rsidR="004A0A7D" w:rsidRDefault="004A0A7D" w:rsidP="00E13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AE53A" w14:textId="25B54634" w:rsidR="004F78CA" w:rsidRDefault="004F78CA" w:rsidP="008E04DF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DBF6C04" wp14:editId="2A3CB534">
          <wp:simplePos x="0" y="0"/>
          <wp:positionH relativeFrom="column">
            <wp:posOffset>1257300</wp:posOffset>
          </wp:positionH>
          <wp:positionV relativeFrom="paragraph">
            <wp:posOffset>-99695</wp:posOffset>
          </wp:positionV>
          <wp:extent cx="3898265" cy="947420"/>
          <wp:effectExtent l="0" t="0" r="3810" b="0"/>
          <wp:wrapSquare wrapText="bothSides"/>
          <wp:docPr id="4" name="Immagine 3" descr="Immagine che contiene segnale, sedendo, via, arancia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Immagine che contiene segnale, sedendo, via, arancia&#10;&#10;Descrizione generata automaticamente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265" cy="947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828"/>
    <w:rsid w:val="00014CED"/>
    <w:rsid w:val="00022452"/>
    <w:rsid w:val="000226AF"/>
    <w:rsid w:val="00031843"/>
    <w:rsid w:val="0005465D"/>
    <w:rsid w:val="00062C80"/>
    <w:rsid w:val="0009502B"/>
    <w:rsid w:val="000A5215"/>
    <w:rsid w:val="000B1339"/>
    <w:rsid w:val="000C0CE4"/>
    <w:rsid w:val="000E2012"/>
    <w:rsid w:val="001408CA"/>
    <w:rsid w:val="00150828"/>
    <w:rsid w:val="00161B07"/>
    <w:rsid w:val="00166C1D"/>
    <w:rsid w:val="00167AD7"/>
    <w:rsid w:val="001968D6"/>
    <w:rsid w:val="001B2A74"/>
    <w:rsid w:val="001B7712"/>
    <w:rsid w:val="001F15D1"/>
    <w:rsid w:val="001F250B"/>
    <w:rsid w:val="00234A77"/>
    <w:rsid w:val="002454BE"/>
    <w:rsid w:val="002858A6"/>
    <w:rsid w:val="002A0434"/>
    <w:rsid w:val="002A315E"/>
    <w:rsid w:val="002B7187"/>
    <w:rsid w:val="002C56ED"/>
    <w:rsid w:val="002E15E1"/>
    <w:rsid w:val="002E5A33"/>
    <w:rsid w:val="003236E1"/>
    <w:rsid w:val="00332DA2"/>
    <w:rsid w:val="0036696C"/>
    <w:rsid w:val="003772CE"/>
    <w:rsid w:val="003A6DF8"/>
    <w:rsid w:val="003F154B"/>
    <w:rsid w:val="0040350D"/>
    <w:rsid w:val="0042183C"/>
    <w:rsid w:val="004275B9"/>
    <w:rsid w:val="004455DF"/>
    <w:rsid w:val="00446782"/>
    <w:rsid w:val="004611F0"/>
    <w:rsid w:val="00496F0E"/>
    <w:rsid w:val="004A0A7D"/>
    <w:rsid w:val="004E218E"/>
    <w:rsid w:val="004E5804"/>
    <w:rsid w:val="004F78CA"/>
    <w:rsid w:val="00517BA3"/>
    <w:rsid w:val="00523F5D"/>
    <w:rsid w:val="00534729"/>
    <w:rsid w:val="005425C7"/>
    <w:rsid w:val="00543362"/>
    <w:rsid w:val="00545CA8"/>
    <w:rsid w:val="00556CDD"/>
    <w:rsid w:val="00570C3D"/>
    <w:rsid w:val="005748BC"/>
    <w:rsid w:val="005771BF"/>
    <w:rsid w:val="005E6F90"/>
    <w:rsid w:val="00623C6B"/>
    <w:rsid w:val="00654D42"/>
    <w:rsid w:val="00680110"/>
    <w:rsid w:val="0068452D"/>
    <w:rsid w:val="00697C81"/>
    <w:rsid w:val="006A2C33"/>
    <w:rsid w:val="006B6BA0"/>
    <w:rsid w:val="006C6273"/>
    <w:rsid w:val="006E008A"/>
    <w:rsid w:val="006F4814"/>
    <w:rsid w:val="00702FD1"/>
    <w:rsid w:val="00715469"/>
    <w:rsid w:val="007222A5"/>
    <w:rsid w:val="00740302"/>
    <w:rsid w:val="00757861"/>
    <w:rsid w:val="0076397E"/>
    <w:rsid w:val="00767138"/>
    <w:rsid w:val="00773A9D"/>
    <w:rsid w:val="00776072"/>
    <w:rsid w:val="00797F4F"/>
    <w:rsid w:val="007B7891"/>
    <w:rsid w:val="007C084E"/>
    <w:rsid w:val="007C4BA7"/>
    <w:rsid w:val="007E703B"/>
    <w:rsid w:val="007F5CA3"/>
    <w:rsid w:val="00816E9E"/>
    <w:rsid w:val="00826584"/>
    <w:rsid w:val="00843D21"/>
    <w:rsid w:val="00850B53"/>
    <w:rsid w:val="00857BE2"/>
    <w:rsid w:val="00870F9B"/>
    <w:rsid w:val="0087419C"/>
    <w:rsid w:val="00893E7C"/>
    <w:rsid w:val="008A0F23"/>
    <w:rsid w:val="008C3B16"/>
    <w:rsid w:val="008D5577"/>
    <w:rsid w:val="008E04DF"/>
    <w:rsid w:val="008F0090"/>
    <w:rsid w:val="008F6F92"/>
    <w:rsid w:val="009038A2"/>
    <w:rsid w:val="00907D54"/>
    <w:rsid w:val="00907EAB"/>
    <w:rsid w:val="00910DE0"/>
    <w:rsid w:val="00912633"/>
    <w:rsid w:val="009134E2"/>
    <w:rsid w:val="00925B32"/>
    <w:rsid w:val="009363BD"/>
    <w:rsid w:val="00961852"/>
    <w:rsid w:val="00967D3E"/>
    <w:rsid w:val="00977B1E"/>
    <w:rsid w:val="009B4627"/>
    <w:rsid w:val="009F076D"/>
    <w:rsid w:val="00A0686B"/>
    <w:rsid w:val="00A30436"/>
    <w:rsid w:val="00A541E3"/>
    <w:rsid w:val="00A61B78"/>
    <w:rsid w:val="00A650F5"/>
    <w:rsid w:val="00A67A02"/>
    <w:rsid w:val="00AD1828"/>
    <w:rsid w:val="00B050DC"/>
    <w:rsid w:val="00B1709C"/>
    <w:rsid w:val="00B37E69"/>
    <w:rsid w:val="00B46F81"/>
    <w:rsid w:val="00B70B88"/>
    <w:rsid w:val="00B731CD"/>
    <w:rsid w:val="00B82972"/>
    <w:rsid w:val="00BD60D5"/>
    <w:rsid w:val="00BF5022"/>
    <w:rsid w:val="00C05453"/>
    <w:rsid w:val="00C11021"/>
    <w:rsid w:val="00C2009D"/>
    <w:rsid w:val="00C35B89"/>
    <w:rsid w:val="00C402EE"/>
    <w:rsid w:val="00C54D1C"/>
    <w:rsid w:val="00C73F07"/>
    <w:rsid w:val="00C9083E"/>
    <w:rsid w:val="00C95377"/>
    <w:rsid w:val="00CC00B5"/>
    <w:rsid w:val="00CD5BB8"/>
    <w:rsid w:val="00D526C0"/>
    <w:rsid w:val="00D53A48"/>
    <w:rsid w:val="00D60F29"/>
    <w:rsid w:val="00D64A4E"/>
    <w:rsid w:val="00D75288"/>
    <w:rsid w:val="00DB3F9F"/>
    <w:rsid w:val="00DC40CE"/>
    <w:rsid w:val="00DD227E"/>
    <w:rsid w:val="00DD7CE1"/>
    <w:rsid w:val="00DE2C27"/>
    <w:rsid w:val="00DE3AE9"/>
    <w:rsid w:val="00E13CE0"/>
    <w:rsid w:val="00E25B10"/>
    <w:rsid w:val="00E57942"/>
    <w:rsid w:val="00E61C61"/>
    <w:rsid w:val="00E64AD0"/>
    <w:rsid w:val="00E86DCF"/>
    <w:rsid w:val="00EB51D9"/>
    <w:rsid w:val="00ED217C"/>
    <w:rsid w:val="00ED28A0"/>
    <w:rsid w:val="00EE6CBE"/>
    <w:rsid w:val="00F03391"/>
    <w:rsid w:val="00F100ED"/>
    <w:rsid w:val="00F1629D"/>
    <w:rsid w:val="00F176AB"/>
    <w:rsid w:val="00F2115B"/>
    <w:rsid w:val="00F26182"/>
    <w:rsid w:val="00F47C3D"/>
    <w:rsid w:val="00F5708F"/>
    <w:rsid w:val="00F6037C"/>
    <w:rsid w:val="00F62DF3"/>
    <w:rsid w:val="00F659D2"/>
    <w:rsid w:val="00F72CB2"/>
    <w:rsid w:val="00F73A35"/>
    <w:rsid w:val="00F73F0C"/>
    <w:rsid w:val="00FA2E0E"/>
    <w:rsid w:val="00FA3293"/>
    <w:rsid w:val="00FB3226"/>
    <w:rsid w:val="00FD29AB"/>
    <w:rsid w:val="00FF2FD9"/>
    <w:rsid w:val="00FF378B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130E6"/>
  <w15:chartTrackingRefBased/>
  <w15:docId w15:val="{D55A3939-51DC-8E4A-B419-6325E4E8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134E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134E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13C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E0"/>
  </w:style>
  <w:style w:type="paragraph" w:styleId="Pidipagina">
    <w:name w:val="footer"/>
    <w:basedOn w:val="Normale"/>
    <w:link w:val="PidipaginaCarattere"/>
    <w:uiPriority w:val="99"/>
    <w:unhideWhenUsed/>
    <w:rsid w:val="00E13C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E0"/>
  </w:style>
  <w:style w:type="paragraph" w:styleId="NormaleWeb">
    <w:name w:val="Normal (Web)"/>
    <w:basedOn w:val="Normale"/>
    <w:uiPriority w:val="99"/>
    <w:unhideWhenUsed/>
    <w:rsid w:val="00FA32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F2115B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cienzainsieme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zainsiem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matteucci</dc:creator>
  <cp:keywords/>
  <dc:description/>
  <cp:lastModifiedBy>Sara Reda</cp:lastModifiedBy>
  <cp:revision>14</cp:revision>
  <dcterms:created xsi:type="dcterms:W3CDTF">2021-05-26T07:41:00Z</dcterms:created>
  <dcterms:modified xsi:type="dcterms:W3CDTF">2023-09-15T12:45:00Z</dcterms:modified>
</cp:coreProperties>
</file>